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7D" w:rsidRDefault="00D52E19" w:rsidP="0076567D">
      <w:pPr>
        <w:spacing w:before="120"/>
        <w:jc w:val="center"/>
        <w:rPr>
          <w:b/>
        </w:rPr>
      </w:pPr>
      <w:r>
        <w:rPr>
          <w:b/>
          <w:bCs/>
        </w:rPr>
        <w:t>Beszámoló a Növényvédelmi Bizottság</w:t>
      </w:r>
      <w:r>
        <w:rPr>
          <w:b/>
          <w:bCs/>
        </w:rPr>
        <w:br/>
        <w:t xml:space="preserve">2019. </w:t>
      </w:r>
      <w:r w:rsidR="0076567D">
        <w:rPr>
          <w:b/>
          <w:bCs/>
        </w:rPr>
        <w:t>május 13-án</w:t>
      </w:r>
    </w:p>
    <w:p w:rsidR="0076567D" w:rsidRDefault="0076567D" w:rsidP="0076567D">
      <w:pPr>
        <w:spacing w:before="120"/>
        <w:jc w:val="center"/>
        <w:rPr>
          <w:b/>
        </w:rPr>
      </w:pPr>
      <w:r>
        <w:rPr>
          <w:b/>
        </w:rPr>
        <w:t xml:space="preserve">a NÉBIH </w:t>
      </w:r>
      <w:r w:rsidR="00E2622F" w:rsidRPr="00E2622F">
        <w:rPr>
          <w:b/>
        </w:rPr>
        <w:t>Növény-, Talaj- és Agrárkörnyezet-védelmi</w:t>
      </w:r>
      <w:r w:rsidR="00E2622F">
        <w:rPr>
          <w:b/>
        </w:rPr>
        <w:t xml:space="preserve"> Igazgatóságán </w:t>
      </w:r>
      <w:r>
        <w:rPr>
          <w:b/>
        </w:rPr>
        <w:t>megtartott ülés</w:t>
      </w:r>
      <w:r w:rsidR="00E2622F">
        <w:rPr>
          <w:b/>
        </w:rPr>
        <w:t>é</w:t>
      </w:r>
      <w:r>
        <w:rPr>
          <w:b/>
        </w:rPr>
        <w:t>ről</w:t>
      </w:r>
    </w:p>
    <w:p w:rsidR="00D52E19" w:rsidRDefault="00D52E19" w:rsidP="00D52E19">
      <w:pPr>
        <w:spacing w:before="120"/>
        <w:jc w:val="center"/>
        <w:rPr>
          <w:b/>
          <w:bCs/>
        </w:rPr>
      </w:pPr>
    </w:p>
    <w:p w:rsidR="00D52E19" w:rsidRDefault="00D52E19" w:rsidP="00D52E19">
      <w:pPr>
        <w:jc w:val="center"/>
        <w:rPr>
          <w:b/>
          <w:bCs/>
        </w:rPr>
      </w:pPr>
    </w:p>
    <w:p w:rsidR="00D52E19" w:rsidRDefault="00D52E19" w:rsidP="00D52E19">
      <w:pPr>
        <w:spacing w:after="120"/>
        <w:jc w:val="both"/>
      </w:pPr>
      <w:bookmarkStart w:id="0" w:name="_GoBack"/>
      <w:bookmarkEnd w:id="0"/>
      <w:r>
        <w:t>Az ülést Gábriel Géza főosztályvezető-helyettes (AM, Élelmiszerlánc Felügyeleti Főosztály) a Növényvédelmi Bizottság elnöke nyitotta meg, Németh János növényvédelmi szakreferens (AM, Élelmiszerlánc Felügyeleti Főosztály) a titkári teendőket látta el.</w:t>
      </w:r>
    </w:p>
    <w:p w:rsidR="00D52E19" w:rsidRDefault="00D52E19" w:rsidP="00D52E19">
      <w:pPr>
        <w:jc w:val="both"/>
      </w:pPr>
    </w:p>
    <w:p w:rsidR="00D52E19" w:rsidRDefault="00D52E19" w:rsidP="00D52E19">
      <w:pPr>
        <w:jc w:val="both"/>
        <w:rPr>
          <w:b/>
          <w:bCs/>
        </w:rPr>
      </w:pPr>
      <w:r>
        <w:rPr>
          <w:b/>
          <w:bCs/>
        </w:rPr>
        <w:t>Résztvevők (2019. 0</w:t>
      </w:r>
      <w:r w:rsidR="0076567D">
        <w:rPr>
          <w:b/>
          <w:bCs/>
        </w:rPr>
        <w:t>5</w:t>
      </w:r>
      <w:r>
        <w:rPr>
          <w:b/>
          <w:bCs/>
        </w:rPr>
        <w:t xml:space="preserve">. </w:t>
      </w:r>
      <w:r w:rsidR="0076567D">
        <w:rPr>
          <w:b/>
          <w:bCs/>
        </w:rPr>
        <w:t>13</w:t>
      </w:r>
      <w:r>
        <w:rPr>
          <w:b/>
          <w:bCs/>
        </w:rPr>
        <w:t>.)</w:t>
      </w:r>
    </w:p>
    <w:tbl>
      <w:tblPr>
        <w:tblW w:w="9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76"/>
        <w:gridCol w:w="16"/>
      </w:tblGrid>
      <w:tr w:rsidR="00D52E19" w:rsidTr="0076567D">
        <w:trPr>
          <w:trHeight w:val="8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Agrárminisztérium (AM)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 xml:space="preserve">Gábriel Géza elnök, Németh János titkár, Dr. </w:t>
            </w:r>
            <w:r w:rsidR="00693F4B">
              <w:t>Mészáros Richárd</w:t>
            </w:r>
            <w:r>
              <w:t>, Holló Gábor, Tóth Liliána</w:t>
            </w:r>
          </w:p>
        </w:tc>
      </w:tr>
      <w:tr w:rsidR="00D52E19" w:rsidTr="0076567D">
        <w:trPr>
          <w:trHeight w:hRule="exact" w:val="93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Nemzeti Élelmiszerlánc-biztonsági Hivatal (NÉBIH)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 xml:space="preserve">Jordán László </w:t>
            </w:r>
            <w:r w:rsidR="0066409D">
              <w:t>igazgató</w:t>
            </w:r>
            <w:r>
              <w:t xml:space="preserve">, </w:t>
            </w:r>
            <w:r w:rsidR="00693F4B">
              <w:t>Dr. Repkényi Zoltán, Dr. Tőkés Gábor</w:t>
            </w:r>
            <w:r w:rsidR="0034793A">
              <w:t>, Várszegi Gábor</w:t>
            </w:r>
          </w:p>
        </w:tc>
      </w:tr>
      <w:tr w:rsidR="00D52E19" w:rsidTr="0076567D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Magyar Növényvédő Mérnöki és Növényorvosi Kamara (MNMNK)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76567D">
            <w:r>
              <w:t>Dr. Tarcali Gábor</w:t>
            </w:r>
          </w:p>
        </w:tc>
      </w:tr>
      <w:tr w:rsidR="0076567D" w:rsidTr="0076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7D" w:rsidRDefault="0076567D">
            <w:r>
              <w:t>Nemzeti Agrárkutatási és Innovációs Központ (NAIK)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7D" w:rsidRDefault="0076567D">
            <w:r>
              <w:t>Dr. Székács András</w:t>
            </w:r>
          </w:p>
        </w:tc>
      </w:tr>
      <w:tr w:rsidR="00D52E19" w:rsidTr="0076567D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Gabonatermesztők Országos Szövetsége (GOSZ)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Petőházi Tamás</w:t>
            </w:r>
          </w:p>
        </w:tc>
      </w:tr>
      <w:tr w:rsidR="00D52E19" w:rsidTr="0076567D">
        <w:trPr>
          <w:trHeight w:val="5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Magyar Növényvédőszer és Műtrágya Kereskedők Szakmai Egyesülete (MNKSZE)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Tánczos László</w:t>
            </w:r>
          </w:p>
        </w:tc>
      </w:tr>
      <w:tr w:rsidR="00D52E19" w:rsidTr="0076567D">
        <w:trPr>
          <w:trHeight w:val="36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Országos Magyar Méhészeti Egyesület (OMME)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19" w:rsidRDefault="00D52E19">
            <w:r>
              <w:t>Bross Péter</w:t>
            </w:r>
            <w:r w:rsidR="0076567D">
              <w:t>, Tóth Péter</w:t>
            </w:r>
          </w:p>
          <w:p w:rsidR="0076567D" w:rsidRDefault="0076567D">
            <w:r>
              <w:t>Horváth Gábor (szakértő)</w:t>
            </w:r>
          </w:p>
        </w:tc>
      </w:tr>
      <w:tr w:rsidR="00D52E19" w:rsidTr="0076567D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Növényvédelmi szövetség (NSZ)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Szalkai Gábor</w:t>
            </w:r>
          </w:p>
        </w:tc>
      </w:tr>
      <w:tr w:rsidR="00D52E19" w:rsidTr="0076567D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>Magyar Tudományos Akadémia (MTA)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19" w:rsidRDefault="00D52E19">
            <w:r>
              <w:t xml:space="preserve">Dr. </w:t>
            </w:r>
            <w:proofErr w:type="spellStart"/>
            <w:r>
              <w:t>Kontschán</w:t>
            </w:r>
            <w:proofErr w:type="spellEnd"/>
            <w:r>
              <w:t xml:space="preserve"> Jenő</w:t>
            </w:r>
          </w:p>
        </w:tc>
      </w:tr>
      <w:tr w:rsidR="00D52E19" w:rsidTr="0076567D">
        <w:trPr>
          <w:trHeight w:val="373"/>
        </w:trPr>
        <w:tc>
          <w:tcPr>
            <w:tcW w:w="4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19" w:rsidRDefault="00D52E19">
            <w:r>
              <w:t>Nemzeti Agrárgazdasági Kamara (NAK)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19" w:rsidRDefault="00D52E19">
            <w:r>
              <w:t>Görög Róbert (szakértő)</w:t>
            </w:r>
          </w:p>
        </w:tc>
      </w:tr>
      <w:tr w:rsidR="0076567D" w:rsidTr="0076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D" w:rsidRDefault="0076567D">
            <w:r>
              <w:t>Belügyminisztérium (Vízügy)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D" w:rsidRDefault="0076567D">
            <w:r>
              <w:t>Petró Ildikó, Gaul Réka (szakértők)</w:t>
            </w:r>
          </w:p>
        </w:tc>
      </w:tr>
      <w:tr w:rsidR="0076567D" w:rsidTr="0076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D" w:rsidRDefault="0076567D">
            <w:r>
              <w:t>Aranyszarvas Zrt.(Mg. termelés)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D" w:rsidRDefault="0076567D">
            <w:r>
              <w:t>Majoros Máté (szakértő)</w:t>
            </w:r>
          </w:p>
        </w:tc>
      </w:tr>
    </w:tbl>
    <w:p w:rsidR="00D52E19" w:rsidRDefault="00D52E19" w:rsidP="00D52E19"/>
    <w:p w:rsidR="00D52E19" w:rsidRDefault="00D52E19" w:rsidP="005A1998">
      <w:pPr>
        <w:spacing w:after="200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A Bizottság ülésén 1</w:t>
      </w:r>
      <w:r w:rsidR="0034793A">
        <w:rPr>
          <w:shd w:val="clear" w:color="auto" w:fill="FFFFFF"/>
          <w:lang w:eastAsia="en-US"/>
        </w:rPr>
        <w:t>4</w:t>
      </w:r>
      <w:r>
        <w:rPr>
          <w:shd w:val="clear" w:color="auto" w:fill="FFFFFF"/>
          <w:lang w:eastAsia="en-US"/>
        </w:rPr>
        <w:t xml:space="preserve"> tag vett részt. 1 tag meghatalmazással képviseltette magát (a</w:t>
      </w:r>
      <w:r w:rsidR="0034226F">
        <w:rPr>
          <w:shd w:val="clear" w:color="auto" w:fill="FFFFFF"/>
          <w:lang w:eastAsia="en-US"/>
        </w:rPr>
        <w:t>z AM Mezőgazdasági Genetikai Erőforrások Főosztálya részéről Dr. Harangozó Tamást Dr. Mészáros Richárd helyettesítette).</w:t>
      </w:r>
      <w:r>
        <w:rPr>
          <w:shd w:val="clear" w:color="auto" w:fill="FFFFFF"/>
          <w:lang w:eastAsia="en-US"/>
        </w:rPr>
        <w:t xml:space="preserve"> </w:t>
      </w:r>
    </w:p>
    <w:p w:rsidR="00D52E19" w:rsidRDefault="00D52E19" w:rsidP="005A1998">
      <w:pPr>
        <w:jc w:val="both"/>
      </w:pPr>
      <w:r>
        <w:t xml:space="preserve">A Bizottság egyhangúlag elfogadta a napirendet. Az ülés fő napirendi témája a Nemzeti Növényvédelmi Cselekvési Terv felülvizsgálata volt. </w:t>
      </w:r>
    </w:p>
    <w:p w:rsidR="00D52E19" w:rsidRDefault="001F11F8" w:rsidP="005A1998">
      <w:pPr>
        <w:tabs>
          <w:tab w:val="left" w:pos="3450"/>
        </w:tabs>
        <w:jc w:val="both"/>
      </w:pPr>
      <w:r>
        <w:tab/>
      </w:r>
    </w:p>
    <w:p w:rsidR="0034226F" w:rsidRDefault="00D52E19" w:rsidP="005A1998">
      <w:pPr>
        <w:jc w:val="both"/>
      </w:pPr>
      <w:r>
        <w:t xml:space="preserve">A Növényvédelmi Cselekvési Terv felülvizsgálatával kapcsolatban </w:t>
      </w:r>
      <w:r w:rsidR="0034226F">
        <w:t xml:space="preserve">az előző ülés óta beérkezett javaslatok, és a nyitott kérdések megvitatásával </w:t>
      </w:r>
      <w:r w:rsidR="004B2E66">
        <w:t xml:space="preserve">zajlott </w:t>
      </w:r>
      <w:r w:rsidR="0034226F">
        <w:t xml:space="preserve">az ülés. </w:t>
      </w:r>
    </w:p>
    <w:p w:rsidR="00D52E19" w:rsidRDefault="00D52E19">
      <w:pPr>
        <w:jc w:val="both"/>
      </w:pPr>
    </w:p>
    <w:p w:rsidR="00D90F65" w:rsidRPr="00D90F65" w:rsidRDefault="00131865" w:rsidP="00D90F65">
      <w:pPr>
        <w:jc w:val="both"/>
      </w:pPr>
      <w:r>
        <w:t>A Növényvédelmi Bizottság</w:t>
      </w:r>
      <w:r w:rsidR="0021634C">
        <w:t xml:space="preserve"> az OMME tartóz</w:t>
      </w:r>
      <w:r w:rsidR="004B2E66">
        <w:t xml:space="preserve">kodása mellett </w:t>
      </w:r>
      <w:r>
        <w:t xml:space="preserve">elfogadta </w:t>
      </w:r>
      <w:r w:rsidR="004B2E66">
        <w:t>az engedélyező hatóság s</w:t>
      </w:r>
      <w:r w:rsidR="004B2E66" w:rsidRPr="00BA58FD">
        <w:t>zerepével és feladataival kapcsolatban a feladatok ellátás</w:t>
      </w:r>
      <w:r w:rsidR="00BC0524" w:rsidRPr="00BA58FD">
        <w:t>á</w:t>
      </w:r>
      <w:r w:rsidR="004B2E66" w:rsidRPr="00BA58FD">
        <w:t xml:space="preserve">hoz szükséges hatósági kapacitások </w:t>
      </w:r>
      <w:r w:rsidR="0047739D" w:rsidRPr="00BA58FD">
        <w:t>megerősítés</w:t>
      </w:r>
      <w:r w:rsidR="009669D5" w:rsidRPr="00BA58FD">
        <w:t>é</w:t>
      </w:r>
      <w:r w:rsidR="005358EC" w:rsidRPr="00BA58FD">
        <w:t>ről szóló rész</w:t>
      </w:r>
      <w:r w:rsidR="009669D5" w:rsidRPr="00BA58FD">
        <w:t xml:space="preserve"> </w:t>
      </w:r>
      <w:r w:rsidR="0047739D" w:rsidRPr="00BA58FD">
        <w:t>törlését</w:t>
      </w:r>
      <w:r w:rsidR="009669D5" w:rsidRPr="00BA58FD">
        <w:t xml:space="preserve"> a munkaanyagból</w:t>
      </w:r>
      <w:r w:rsidR="004F6AA6">
        <w:t>,</w:t>
      </w:r>
      <w:r>
        <w:t xml:space="preserve"> tekintettel arra, hogy az nem kell, hogy részét képezze a 2009/128/EK irányelvben előírt Nemzeti Cselekvési Tervek </w:t>
      </w:r>
      <w:r>
        <w:lastRenderedPageBreak/>
        <w:t>tartalmi követelményeinek</w:t>
      </w:r>
      <w:r w:rsidR="0047739D" w:rsidRPr="00BA58FD">
        <w:t>.</w:t>
      </w:r>
      <w:r w:rsidR="00D90F65">
        <w:t xml:space="preserve"> A</w:t>
      </w:r>
      <w:r w:rsidR="00D90F65" w:rsidRPr="00D90F65">
        <w:t xml:space="preserve"> növény</w:t>
      </w:r>
      <w:r w:rsidR="00D90F65">
        <w:t xml:space="preserve">védőszer-engedélyezés területén az eddigi eljárások, gyakorlatok felülvizsgálata folyamatban van, épp </w:t>
      </w:r>
      <w:r w:rsidR="00D90F65" w:rsidRPr="00D90F65">
        <w:t>a racionalizáció és a hatékony erőforrás felhasználás érdekében.</w:t>
      </w:r>
    </w:p>
    <w:p w:rsidR="0034226F" w:rsidRDefault="0047739D">
      <w:pPr>
        <w:jc w:val="both"/>
      </w:pPr>
      <w:r w:rsidRPr="00BA58FD">
        <w:t xml:space="preserve"> Az OMME véleménye szerint a hatósági munkatársak létszámban történő bármilyen csökkenése hatással lesz a munka minőségére.</w:t>
      </w:r>
      <w:r w:rsidR="0021634C">
        <w:t xml:space="preserve"> </w:t>
      </w:r>
      <w:r w:rsidR="00AE500A">
        <w:t xml:space="preserve"> </w:t>
      </w:r>
    </w:p>
    <w:p w:rsidR="009669D5" w:rsidRDefault="009669D5">
      <w:pPr>
        <w:jc w:val="both"/>
      </w:pPr>
    </w:p>
    <w:p w:rsidR="0021634C" w:rsidRDefault="0047739D">
      <w:pPr>
        <w:jc w:val="both"/>
      </w:pPr>
      <w:r>
        <w:t>A</w:t>
      </w:r>
      <w:r w:rsidR="0087791D">
        <w:t>z</w:t>
      </w:r>
      <w:r w:rsidR="00FD306F">
        <w:t xml:space="preserve"> </w:t>
      </w:r>
      <w:r>
        <w:t>OMME a növényvédő-sz</w:t>
      </w:r>
      <w:r w:rsidR="009669D5">
        <w:t>er forgalmazással kapcsolatban javasolta</w:t>
      </w:r>
      <w:r>
        <w:t>, hogy a középfokú és felsőfokú növényvédelmi képzések során</w:t>
      </w:r>
      <w:r w:rsidR="00EB63FC">
        <w:t>,</w:t>
      </w:r>
      <w:r>
        <w:t xml:space="preserve"> melyek révén az integrált és biológiai növényvédelem korszerű módszereit sajátíthatják el a képzésben résztvevők, </w:t>
      </w:r>
      <w:r w:rsidRPr="0047739D">
        <w:t>a beporzók érdekeinek megfelelő technológiai megoldások is bekerüljenek az oktatási programba</w:t>
      </w:r>
      <w:r>
        <w:t>.</w:t>
      </w:r>
    </w:p>
    <w:p w:rsidR="00AA4388" w:rsidRDefault="00AA4388">
      <w:pPr>
        <w:jc w:val="both"/>
      </w:pPr>
    </w:p>
    <w:p w:rsidR="00AA4388" w:rsidRDefault="00AA4388">
      <w:pPr>
        <w:jc w:val="both"/>
      </w:pPr>
      <w:r>
        <w:t xml:space="preserve">A méhek és más beporzó rovarok védelmével kapcsolatban az OMME egyebekben </w:t>
      </w:r>
      <w:r w:rsidR="005A1998">
        <w:t xml:space="preserve">javasolta </w:t>
      </w:r>
      <w:r>
        <w:t>a vonatkozó fejezet be</w:t>
      </w:r>
      <w:r w:rsidR="005A1998">
        <w:t xml:space="preserve">vezetésének a kiegészítését azzal, hogy a mérgezés </w:t>
      </w:r>
      <w:r>
        <w:t>nemcsak a méhek halálával, hanem sok esetben rendellenes viselkedésével (pl. mászkáló méhek megjelenésével) is összefügghet.</w:t>
      </w:r>
      <w:r w:rsidR="005A1998">
        <w:t xml:space="preserve"> Ezzel </w:t>
      </w:r>
      <w:r>
        <w:t xml:space="preserve">összefüggésben </w:t>
      </w:r>
      <w:r w:rsidR="005A1998">
        <w:t>az OMME kérte a vélhetően növ</w:t>
      </w:r>
      <w:r>
        <w:t>ényvédelmi tevékenységgel kapcsolatos</w:t>
      </w:r>
      <w:r w:rsidR="005A1998">
        <w:t xml:space="preserve"> </w:t>
      </w:r>
      <w:r>
        <w:t>méhpusztulások kivizsgálására</w:t>
      </w:r>
      <w:r w:rsidR="005A1998">
        <w:t xml:space="preserve"> vonatkozó hatóság eljárásrend folyamatos karbantartását és életszerűvé tételét.</w:t>
      </w:r>
      <w:r>
        <w:t xml:space="preserve"> </w:t>
      </w:r>
    </w:p>
    <w:p w:rsidR="0034793A" w:rsidRDefault="0034793A">
      <w:pPr>
        <w:jc w:val="both"/>
      </w:pPr>
    </w:p>
    <w:p w:rsidR="0034793A" w:rsidRPr="0034793A" w:rsidRDefault="0087791D" w:rsidP="0034793A">
      <w:pPr>
        <w:jc w:val="both"/>
      </w:pPr>
      <w:r>
        <w:t>A</w:t>
      </w:r>
      <w:r w:rsidR="0034793A" w:rsidRPr="0034793A">
        <w:t xml:space="preserve">z érzékeny területekkel, ezen belül a méhanya nevelő telepek környékén végrehajtandó speciális </w:t>
      </w:r>
      <w:r w:rsidR="009522EC">
        <w:t xml:space="preserve">növényvédelmi </w:t>
      </w:r>
      <w:r w:rsidR="0034793A" w:rsidRPr="0034793A">
        <w:t>techno</w:t>
      </w:r>
      <w:r w:rsidR="009522EC">
        <w:t xml:space="preserve">lógiákkal kapcsolatban </w:t>
      </w:r>
      <w:r w:rsidR="00C31545">
        <w:t xml:space="preserve">az OMME szükségesnek tartaná ezek környékén a nappali permetezések </w:t>
      </w:r>
      <w:r w:rsidR="009522EC">
        <w:t>szigorú korlátoz</w:t>
      </w:r>
      <w:r w:rsidR="00C31545">
        <w:t>ását</w:t>
      </w:r>
      <w:r w:rsidR="0034793A" w:rsidRPr="0034793A">
        <w:t xml:space="preserve">. </w:t>
      </w:r>
      <w:r w:rsidR="00FD306F">
        <w:t xml:space="preserve">Ezt </w:t>
      </w:r>
      <w:r w:rsidR="009522EC">
        <w:t xml:space="preserve">a NÉBIH részéről </w:t>
      </w:r>
      <w:r w:rsidR="0034793A" w:rsidRPr="0034793A">
        <w:t xml:space="preserve">Jordán László </w:t>
      </w:r>
      <w:r w:rsidR="009522EC">
        <w:t xml:space="preserve">igazgató úr </w:t>
      </w:r>
      <w:r w:rsidR="0066409D">
        <w:t xml:space="preserve">– megfelelő érvek rendelkezésre állása esetén - </w:t>
      </w:r>
      <w:r w:rsidR="009522EC">
        <w:t>kivitelezhetőnek tartotta</w:t>
      </w:r>
      <w:r w:rsidR="0034793A" w:rsidRPr="0034793A">
        <w:t xml:space="preserve">, </w:t>
      </w:r>
      <w:r w:rsidR="009522EC">
        <w:t xml:space="preserve">de </w:t>
      </w:r>
      <w:r w:rsidR="00C31545">
        <w:t xml:space="preserve">hangsúlyozta, hogy </w:t>
      </w:r>
      <w:r w:rsidR="009522EC">
        <w:t>ehhez jogszabály módosításra</w:t>
      </w:r>
      <w:r w:rsidR="00C31545">
        <w:t xml:space="preserve"> lenne</w:t>
      </w:r>
      <w:r w:rsidR="0034793A" w:rsidRPr="0034793A">
        <w:t xml:space="preserve"> szüksé</w:t>
      </w:r>
      <w:r w:rsidR="009522EC">
        <w:t>g</w:t>
      </w:r>
      <w:r w:rsidR="00C31545">
        <w:t>,</w:t>
      </w:r>
      <w:r w:rsidR="009522EC">
        <w:t xml:space="preserve"> és a körzet nagyságát is </w:t>
      </w:r>
      <w:r w:rsidR="0034793A" w:rsidRPr="0034793A">
        <w:t>meg</w:t>
      </w:r>
      <w:r w:rsidR="009522EC">
        <w:t xml:space="preserve"> kell </w:t>
      </w:r>
      <w:r w:rsidR="00C31545">
        <w:t xml:space="preserve">majd </w:t>
      </w:r>
      <w:r w:rsidR="009522EC">
        <w:t>állapítani.</w:t>
      </w:r>
      <w:r w:rsidR="00C31545">
        <w:t xml:space="preserve"> </w:t>
      </w:r>
    </w:p>
    <w:p w:rsidR="009522EC" w:rsidRDefault="009522EC" w:rsidP="0034793A">
      <w:pPr>
        <w:jc w:val="both"/>
      </w:pPr>
    </w:p>
    <w:p w:rsidR="0034793A" w:rsidRPr="0034793A" w:rsidRDefault="00FD306F" w:rsidP="0034793A">
      <w:pPr>
        <w:jc w:val="both"/>
      </w:pPr>
      <w:r>
        <w:t xml:space="preserve">Végül </w:t>
      </w:r>
      <w:r w:rsidR="00C31545">
        <w:t xml:space="preserve">az OMME </w:t>
      </w:r>
      <w:r>
        <w:t>felvetette</w:t>
      </w:r>
      <w:r w:rsidR="00C31545">
        <w:t>, hogy a</w:t>
      </w:r>
      <w:r w:rsidR="0034793A" w:rsidRPr="0034793A">
        <w:t xml:space="preserve"> bizonyítottan növényvédelemi káresemény kapcsán okozott méhmérgezés okozójánál a „Jó mezőgazdasági gyakorlat” szándékos, vagy véletlen megsértése </w:t>
      </w:r>
      <w:r>
        <w:t>miatt</w:t>
      </w:r>
      <w:r w:rsidR="0034793A" w:rsidRPr="0034793A">
        <w:t xml:space="preserve"> a termelőnek kifizetendő </w:t>
      </w:r>
      <w:r w:rsidR="00C31545">
        <w:t xml:space="preserve">állami </w:t>
      </w:r>
      <w:r w:rsidR="0034793A" w:rsidRPr="0034793A">
        <w:t xml:space="preserve">támogatás mértékét </w:t>
      </w:r>
      <w:r>
        <w:t xml:space="preserve">sújtsák </w:t>
      </w:r>
      <w:r w:rsidR="0034793A" w:rsidRPr="0034793A">
        <w:t>büntető szankciókkal</w:t>
      </w:r>
      <w:r>
        <w:t>.</w:t>
      </w:r>
    </w:p>
    <w:p w:rsidR="00C31545" w:rsidRDefault="00C31545" w:rsidP="0034793A">
      <w:pPr>
        <w:jc w:val="both"/>
      </w:pPr>
      <w:r>
        <w:t>Ezzel kapcsolatb</w:t>
      </w:r>
      <w:r w:rsidR="00FD306F">
        <w:t>a</w:t>
      </w:r>
      <w:r>
        <w:t xml:space="preserve">n az OMME sérelmezte, hogy </w:t>
      </w:r>
      <w:r w:rsidR="0034793A" w:rsidRPr="0034793A">
        <w:t>egy szabálysértés m</w:t>
      </w:r>
      <w:r>
        <w:t>egítélésekor mások a szabályok</w:t>
      </w:r>
      <w:r w:rsidR="00FD306F">
        <w:t>,</w:t>
      </w:r>
      <w:r>
        <w:t xml:space="preserve"> </w:t>
      </w:r>
      <w:r w:rsidR="0034793A" w:rsidRPr="0034793A">
        <w:t>ha technológiai ellenőrzést hajt végre az ellenőr</w:t>
      </w:r>
      <w:r>
        <w:t>,</w:t>
      </w:r>
      <w:r w:rsidR="0034793A" w:rsidRPr="0034793A">
        <w:t xml:space="preserve"> és </w:t>
      </w:r>
      <w:r>
        <w:t xml:space="preserve">mások a szankciók, ha pl. </w:t>
      </w:r>
      <w:r w:rsidR="0034793A" w:rsidRPr="0034793A">
        <w:t>EU támogatás jogosságát méri fel ugyanaz a személy.</w:t>
      </w:r>
    </w:p>
    <w:p w:rsidR="0034793A" w:rsidRPr="0034793A" w:rsidRDefault="00C31545" w:rsidP="0034793A">
      <w:pPr>
        <w:jc w:val="both"/>
      </w:pPr>
      <w:r>
        <w:t xml:space="preserve">A NAK kifejezetten ellenezte a gazdáknak nyújtott állami támogatások </w:t>
      </w:r>
      <w:r w:rsidR="00FD306F">
        <w:t>büntető jellegű szankcionálását.</w:t>
      </w:r>
    </w:p>
    <w:p w:rsidR="0034793A" w:rsidRDefault="0034793A">
      <w:pPr>
        <w:jc w:val="both"/>
      </w:pPr>
    </w:p>
    <w:p w:rsidR="0021634C" w:rsidRDefault="00EB63FC">
      <w:pPr>
        <w:jc w:val="both"/>
      </w:pPr>
      <w:r>
        <w:t xml:space="preserve">Dr. </w:t>
      </w:r>
      <w:r w:rsidR="0021634C">
        <w:t>Tarcali Gábor (Magyar Növényvédő Mérnöki és Növényorvosi Kamara) az elektronikus vény használatával kapcsolatban rámutatott, hogy bár 2015 óta m</w:t>
      </w:r>
      <w:r w:rsidR="00376112">
        <w:t>űködik, de nem használják elegendően</w:t>
      </w:r>
      <w:r w:rsidR="0021634C">
        <w:t>, és ennek főleg technológiai (PC, internet használat) és korosztályos</w:t>
      </w:r>
      <w:r w:rsidR="00376112">
        <w:t xml:space="preserve"> </w:t>
      </w:r>
      <w:r w:rsidR="0021634C">
        <w:t>oka</w:t>
      </w:r>
      <w:r w:rsidR="00376112">
        <w:t>i</w:t>
      </w:r>
      <w:r w:rsidR="0021634C">
        <w:t xml:space="preserve"> van</w:t>
      </w:r>
      <w:r w:rsidR="00376112">
        <w:t>nak</w:t>
      </w:r>
      <w:r w:rsidR="0021634C">
        <w:t>. A Kamar</w:t>
      </w:r>
      <w:r w:rsidR="00376112">
        <w:t>a</w:t>
      </w:r>
      <w:r w:rsidR="0021634C">
        <w:t xml:space="preserve"> felmérései szerint ma hozzávetőlegesen 25%-ban elektronikus,</w:t>
      </w:r>
      <w:r w:rsidR="0062612E">
        <w:t xml:space="preserve"> de </w:t>
      </w:r>
      <w:r w:rsidR="0021634C">
        <w:t xml:space="preserve">75 %-ban még papír alapú a </w:t>
      </w:r>
      <w:proofErr w:type="spellStart"/>
      <w:r w:rsidR="0021634C">
        <w:t>növényorvosi</w:t>
      </w:r>
      <w:proofErr w:type="spellEnd"/>
      <w:r w:rsidR="0021634C">
        <w:t xml:space="preserve"> vény használat</w:t>
      </w:r>
      <w:r w:rsidR="0062612E">
        <w:t>a</w:t>
      </w:r>
      <w:r w:rsidR="0021634C">
        <w:t xml:space="preserve">. </w:t>
      </w:r>
    </w:p>
    <w:p w:rsidR="00376112" w:rsidRDefault="00376112">
      <w:pPr>
        <w:jc w:val="both"/>
      </w:pPr>
    </w:p>
    <w:p w:rsidR="0021634C" w:rsidRDefault="0021634C">
      <w:pPr>
        <w:jc w:val="both"/>
      </w:pPr>
      <w:r>
        <w:t xml:space="preserve">Görög Róbert </w:t>
      </w:r>
      <w:r w:rsidR="00E2622F">
        <w:t xml:space="preserve">(NAK) </w:t>
      </w:r>
      <w:r>
        <w:t>felszólalásában hangsúlyozta, hogy a Nemzeti Agrárgazdasági Kamara a papír alapú ügyi</w:t>
      </w:r>
      <w:r w:rsidR="00376112">
        <w:t>ntézés megléte nélkül nem támogatja</w:t>
      </w:r>
      <w:r>
        <w:t xml:space="preserve"> az elektronikus permetezési naplót, álláspontjuk szerint ez túlzottan megterhelné a falugazdászokat. Az el</w:t>
      </w:r>
      <w:r w:rsidR="005576F9">
        <w:t>ektronikus</w:t>
      </w:r>
      <w:r w:rsidR="00FD306F">
        <w:t xml:space="preserve"> </w:t>
      </w:r>
      <w:proofErr w:type="spellStart"/>
      <w:r>
        <w:t>növényorvosi</w:t>
      </w:r>
      <w:proofErr w:type="spellEnd"/>
      <w:r>
        <w:t xml:space="preserve"> vény és permetezési napló bevezethetőségét 2023 előtt nem lát</w:t>
      </w:r>
      <w:r w:rsidR="0062612E">
        <w:t>ja kivitelezhetőnek a NAK.</w:t>
      </w:r>
    </w:p>
    <w:p w:rsidR="00376112" w:rsidRDefault="00376112">
      <w:pPr>
        <w:jc w:val="both"/>
      </w:pPr>
    </w:p>
    <w:p w:rsidR="0021634C" w:rsidRDefault="00376112">
      <w:pPr>
        <w:jc w:val="both"/>
      </w:pPr>
      <w:r>
        <w:t xml:space="preserve">A Bizottság szavazatával megerősítette az elektronikus </w:t>
      </w:r>
      <w:proofErr w:type="spellStart"/>
      <w:r>
        <w:t>növényorvosi</w:t>
      </w:r>
      <w:proofErr w:type="spellEnd"/>
      <w:r>
        <w:t xml:space="preserve"> vény és permetezési na</w:t>
      </w:r>
      <w:r w:rsidR="0062612E">
        <w:t>pló bevezetésének szükségszerűségét</w:t>
      </w:r>
      <w:r>
        <w:t xml:space="preserve"> 2023-ig.</w:t>
      </w:r>
      <w:r w:rsidR="0021634C">
        <w:t xml:space="preserve">    </w:t>
      </w:r>
    </w:p>
    <w:p w:rsidR="0034226F" w:rsidRDefault="0034226F">
      <w:pPr>
        <w:jc w:val="both"/>
      </w:pPr>
    </w:p>
    <w:p w:rsidR="001D6B5C" w:rsidRDefault="00EB63FC">
      <w:pPr>
        <w:jc w:val="both"/>
      </w:pPr>
      <w:r>
        <w:lastRenderedPageBreak/>
        <w:t>Szalkai Gábor (Növényvédelmi Szövetség) az ö</w:t>
      </w:r>
      <w:r w:rsidR="00376112">
        <w:t>koló</w:t>
      </w:r>
      <w:r>
        <w:t>giai gazdálkodással kapcsolatban javasolta, hog</w:t>
      </w:r>
      <w:r w:rsidR="009669D5">
        <w:t>y kerüljön törlésre a munkaanyagból az a rész, amely azt sug</w:t>
      </w:r>
      <w:r>
        <w:t>al</w:t>
      </w:r>
      <w:r w:rsidR="009669D5">
        <w:t>l</w:t>
      </w:r>
      <w:r>
        <w:t>j</w:t>
      </w:r>
      <w:r w:rsidR="009669D5">
        <w:t>a, hogy csak a biogazdál</w:t>
      </w:r>
      <w:r>
        <w:t xml:space="preserve">kodás során </w:t>
      </w:r>
      <w:r w:rsidR="009669D5">
        <w:t xml:space="preserve">előállított élelmiszerek az egészségesek, a többi </w:t>
      </w:r>
      <w:r>
        <w:t>pedig nem. A javaslatot a</w:t>
      </w:r>
      <w:r w:rsidR="00376112">
        <w:t xml:space="preserve"> Bizottság elfogadta</w:t>
      </w:r>
      <w:r w:rsidR="009669D5">
        <w:t xml:space="preserve">. </w:t>
      </w:r>
    </w:p>
    <w:p w:rsidR="00376112" w:rsidRDefault="009669D5">
      <w:pPr>
        <w:jc w:val="both"/>
      </w:pPr>
      <w:r>
        <w:t xml:space="preserve">Továbbá elfogadásra került az NSZ </w:t>
      </w:r>
      <w:r w:rsidR="00EB63FC">
        <w:t>lé</w:t>
      </w:r>
      <w:r>
        <w:t xml:space="preserve">gi növényvédelmi tevékenységgel </w:t>
      </w:r>
      <w:r w:rsidR="00EB63FC">
        <w:t>kapcsola</w:t>
      </w:r>
      <w:r>
        <w:t>tos kiegészítő javaslata is</w:t>
      </w:r>
      <w:r w:rsidR="00ED45C8">
        <w:t xml:space="preserve"> </w:t>
      </w:r>
      <w:r w:rsidR="00EB63FC">
        <w:t xml:space="preserve">a </w:t>
      </w:r>
      <w:r w:rsidR="00BC0524">
        <w:t>„</w:t>
      </w:r>
      <w:r w:rsidR="00EB63FC">
        <w:t>dróno</w:t>
      </w:r>
      <w:r w:rsidR="00BC0524">
        <w:t>s”</w:t>
      </w:r>
      <w:r w:rsidR="00EB63FC">
        <w:t xml:space="preserve"> növényvédelem támogatásáról</w:t>
      </w:r>
      <w:r w:rsidR="00ED45C8">
        <w:t>,</w:t>
      </w:r>
      <w:r w:rsidR="00EB63FC">
        <w:t xml:space="preserve"> és </w:t>
      </w:r>
      <w:r w:rsidR="00EB63FC" w:rsidRPr="00EB63FC">
        <w:t>az arra vona</w:t>
      </w:r>
      <w:r w:rsidR="00EB63FC">
        <w:t>tkozó jogi és egyéb szabályozási környezet kialakít</w:t>
      </w:r>
      <w:r w:rsidR="00ED45C8">
        <w:t>ásának szükségességéről.</w:t>
      </w:r>
    </w:p>
    <w:p w:rsidR="00376112" w:rsidRDefault="00376112">
      <w:pPr>
        <w:jc w:val="both"/>
      </w:pPr>
    </w:p>
    <w:p w:rsidR="00D52E19" w:rsidRDefault="00D52E19" w:rsidP="00D52E19">
      <w:pPr>
        <w:spacing w:after="120"/>
        <w:jc w:val="both"/>
      </w:pPr>
      <w:r>
        <w:t xml:space="preserve">Az ülés végén az elnök felkérte a tagokat, </w:t>
      </w:r>
      <w:r w:rsidR="004B2E66">
        <w:t xml:space="preserve">amennyiben szükséges, </w:t>
      </w:r>
      <w:r>
        <w:t xml:space="preserve">tegyék meg a további írásbeli javaslataikat a munkaanyaggal kapcsolatban. A Cselekvési Tervvel kapcsolatos végső döntés nem született, végszavazásra várhatóan a júniusi ülésen kerül sor.     </w:t>
      </w:r>
    </w:p>
    <w:p w:rsidR="00D52E19" w:rsidRDefault="00D52E19" w:rsidP="00D52E19">
      <w:pPr>
        <w:jc w:val="both"/>
      </w:pPr>
    </w:p>
    <w:p w:rsidR="00D52E19" w:rsidRDefault="00D52E19" w:rsidP="00D52E19"/>
    <w:p w:rsidR="0068101E" w:rsidRDefault="00FD52A9" w:rsidP="00FD52A9">
      <w:pPr>
        <w:jc w:val="center"/>
      </w:pPr>
      <w:r>
        <w:t>Németh János</w:t>
      </w:r>
    </w:p>
    <w:p w:rsidR="00FD52A9" w:rsidRDefault="00FD52A9" w:rsidP="00FD52A9">
      <w:pPr>
        <w:jc w:val="center"/>
      </w:pPr>
      <w:proofErr w:type="gramStart"/>
      <w:r>
        <w:t>titkár</w:t>
      </w:r>
      <w:proofErr w:type="gramEnd"/>
    </w:p>
    <w:sectPr w:rsidR="00FD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án László">
    <w15:presenceInfo w15:providerId="AD" w15:userId="S-1-5-21-2590430340-2371410248-3542801532-3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9"/>
    <w:rsid w:val="00131865"/>
    <w:rsid w:val="001D6B5C"/>
    <w:rsid w:val="001F11F8"/>
    <w:rsid w:val="0021634C"/>
    <w:rsid w:val="0034226F"/>
    <w:rsid w:val="0034793A"/>
    <w:rsid w:val="00376112"/>
    <w:rsid w:val="0044713D"/>
    <w:rsid w:val="00452967"/>
    <w:rsid w:val="00455170"/>
    <w:rsid w:val="0047739D"/>
    <w:rsid w:val="004B2E66"/>
    <w:rsid w:val="004F6AA6"/>
    <w:rsid w:val="005358EC"/>
    <w:rsid w:val="005576F9"/>
    <w:rsid w:val="005A1998"/>
    <w:rsid w:val="005C524F"/>
    <w:rsid w:val="0062612E"/>
    <w:rsid w:val="0066409D"/>
    <w:rsid w:val="0068101E"/>
    <w:rsid w:val="00693F4B"/>
    <w:rsid w:val="00711C16"/>
    <w:rsid w:val="00733869"/>
    <w:rsid w:val="0076567D"/>
    <w:rsid w:val="007D315E"/>
    <w:rsid w:val="00844D2E"/>
    <w:rsid w:val="0087791D"/>
    <w:rsid w:val="009522EC"/>
    <w:rsid w:val="009669D5"/>
    <w:rsid w:val="00AA4388"/>
    <w:rsid w:val="00AE500A"/>
    <w:rsid w:val="00B25F1F"/>
    <w:rsid w:val="00B91356"/>
    <w:rsid w:val="00BA58FD"/>
    <w:rsid w:val="00BC0524"/>
    <w:rsid w:val="00C30EA6"/>
    <w:rsid w:val="00C31545"/>
    <w:rsid w:val="00CC1C60"/>
    <w:rsid w:val="00D52E19"/>
    <w:rsid w:val="00D90F65"/>
    <w:rsid w:val="00E2622F"/>
    <w:rsid w:val="00EB63FC"/>
    <w:rsid w:val="00ED45C8"/>
    <w:rsid w:val="00FD306F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E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E19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A58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58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8FD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8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8FD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E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E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E19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A58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58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8FD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8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8FD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F19F-9F41-44F6-A4CA-A81247D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Gábriel Géza</dc:creator>
  <cp:lastModifiedBy>Németh János</cp:lastModifiedBy>
  <cp:revision>2</cp:revision>
  <dcterms:created xsi:type="dcterms:W3CDTF">2019-07-01T14:13:00Z</dcterms:created>
  <dcterms:modified xsi:type="dcterms:W3CDTF">2019-07-01T14:13:00Z</dcterms:modified>
</cp:coreProperties>
</file>